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957" w:type="dxa"/>
        <w:tblLook w:val="04A0" w:firstRow="1" w:lastRow="0" w:firstColumn="1" w:lastColumn="0" w:noHBand="0" w:noVBand="1"/>
      </w:tblPr>
      <w:tblGrid>
        <w:gridCol w:w="747"/>
        <w:gridCol w:w="1885"/>
        <w:gridCol w:w="1701"/>
        <w:gridCol w:w="1984"/>
        <w:gridCol w:w="2694"/>
        <w:gridCol w:w="3827"/>
        <w:gridCol w:w="3119"/>
      </w:tblGrid>
      <w:tr w:rsidR="00730A38" w:rsidTr="00F8740B">
        <w:tc>
          <w:tcPr>
            <w:tcW w:w="15957" w:type="dxa"/>
            <w:gridSpan w:val="7"/>
          </w:tcPr>
          <w:p w:rsidR="00730A38" w:rsidRDefault="00F8740B" w:rsidP="00693B0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sz w:val="24"/>
                <w:szCs w:val="24"/>
                <w:rtl/>
              </w:rPr>
              <w:t>مدت مجاز تحصیل و حداکثر سنوات ارفاقی در مقاطع مختلف تحصیلی</w:t>
            </w:r>
            <w:r w:rsidR="00730A38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730A38" w:rsidTr="0078142B">
        <w:tc>
          <w:tcPr>
            <w:tcW w:w="747" w:type="dxa"/>
            <w:vAlign w:val="center"/>
          </w:tcPr>
          <w:p w:rsidR="00730A38" w:rsidRDefault="00730A38" w:rsidP="002A491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85" w:type="dxa"/>
            <w:vAlign w:val="center"/>
          </w:tcPr>
          <w:p w:rsidR="00730A38" w:rsidRPr="002A4912" w:rsidRDefault="00730A38" w:rsidP="009F533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701" w:type="dxa"/>
            <w:vAlign w:val="center"/>
          </w:tcPr>
          <w:p w:rsidR="00730A38" w:rsidRDefault="00730A38" w:rsidP="0078142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مشروطی </w:t>
            </w:r>
            <w:r w:rsidR="0078142B">
              <w:rPr>
                <w:rFonts w:cs="B Titr" w:hint="cs"/>
                <w:sz w:val="24"/>
                <w:szCs w:val="24"/>
                <w:rtl/>
              </w:rPr>
              <w:t>منجر به اخراج آموزشی</w:t>
            </w:r>
          </w:p>
        </w:tc>
        <w:tc>
          <w:tcPr>
            <w:tcW w:w="1984" w:type="dxa"/>
            <w:vAlign w:val="center"/>
          </w:tcPr>
          <w:p w:rsidR="00730A38" w:rsidRDefault="00730A38" w:rsidP="0066461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سنوات مجاز تحصیلی</w:t>
            </w:r>
          </w:p>
        </w:tc>
        <w:tc>
          <w:tcPr>
            <w:tcW w:w="2694" w:type="dxa"/>
            <w:vAlign w:val="center"/>
          </w:tcPr>
          <w:p w:rsidR="00730A38" w:rsidRDefault="00730A38" w:rsidP="00B815A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سنوات اولیه تحصیلی مورد تائید وظیفه عمومی</w:t>
            </w:r>
          </w:p>
        </w:tc>
        <w:tc>
          <w:tcPr>
            <w:tcW w:w="3827" w:type="dxa"/>
            <w:vAlign w:val="center"/>
          </w:tcPr>
          <w:p w:rsidR="00730A38" w:rsidRDefault="00B017B2" w:rsidP="00B017B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حداکثر اختیارات کمیسیون داخلی دانشگاه در زمینه </w:t>
            </w:r>
            <w:r w:rsidR="00730A38">
              <w:rPr>
                <w:rFonts w:cs="B Titr" w:hint="cs"/>
                <w:sz w:val="24"/>
                <w:szCs w:val="24"/>
                <w:rtl/>
              </w:rPr>
              <w:t xml:space="preserve">سنوات ارفاقی </w:t>
            </w:r>
          </w:p>
        </w:tc>
        <w:tc>
          <w:tcPr>
            <w:tcW w:w="3119" w:type="dxa"/>
          </w:tcPr>
          <w:p w:rsidR="00730A38" w:rsidRDefault="00056310" w:rsidP="00B017B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حداکثر</w:t>
            </w:r>
            <w:r w:rsidR="00B017B2">
              <w:rPr>
                <w:rFonts w:cs="B Titr" w:hint="cs"/>
                <w:sz w:val="24"/>
                <w:szCs w:val="24"/>
                <w:rtl/>
              </w:rPr>
              <w:t xml:space="preserve"> اختیارات کمیسیون استانی در زمینه سنوات ارفاقی</w:t>
            </w:r>
          </w:p>
        </w:tc>
      </w:tr>
      <w:tr w:rsidR="00730A38" w:rsidTr="0078142B">
        <w:tc>
          <w:tcPr>
            <w:tcW w:w="747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885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کاردانی</w:t>
            </w:r>
          </w:p>
        </w:tc>
        <w:tc>
          <w:tcPr>
            <w:tcW w:w="1701" w:type="dxa"/>
            <w:vAlign w:val="center"/>
          </w:tcPr>
          <w:p w:rsidR="00730A38" w:rsidRDefault="00730A38" w:rsidP="0066461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730A38" w:rsidRDefault="00730A38" w:rsidP="0066461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2694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3827" w:type="dxa"/>
            <w:vAlign w:val="center"/>
          </w:tcPr>
          <w:p w:rsidR="00730A38" w:rsidRPr="002A4912" w:rsidRDefault="00B017B2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3119" w:type="dxa"/>
          </w:tcPr>
          <w:p w:rsidR="00730A38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  <w:r w:rsidR="00095DC0">
              <w:rPr>
                <w:rFonts w:cs="B Zar" w:hint="cs"/>
                <w:sz w:val="28"/>
                <w:szCs w:val="28"/>
                <w:rtl/>
              </w:rPr>
              <w:t>-8</w:t>
            </w:r>
          </w:p>
        </w:tc>
      </w:tr>
      <w:tr w:rsidR="00730A38" w:rsidTr="0078142B">
        <w:tc>
          <w:tcPr>
            <w:tcW w:w="747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885" w:type="dxa"/>
            <w:vAlign w:val="center"/>
          </w:tcPr>
          <w:p w:rsidR="00730A38" w:rsidRPr="002A4912" w:rsidRDefault="00730A38" w:rsidP="009F533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کارشناسی ناپیوسته</w:t>
            </w:r>
          </w:p>
        </w:tc>
        <w:tc>
          <w:tcPr>
            <w:tcW w:w="1701" w:type="dxa"/>
            <w:vAlign w:val="center"/>
          </w:tcPr>
          <w:p w:rsidR="00730A38" w:rsidRDefault="00730A38" w:rsidP="0066461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730A38" w:rsidRDefault="003A3005" w:rsidP="0066461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2694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3827" w:type="dxa"/>
            <w:vAlign w:val="center"/>
          </w:tcPr>
          <w:p w:rsidR="00730A38" w:rsidRPr="002A4912" w:rsidRDefault="00B017B2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3119" w:type="dxa"/>
          </w:tcPr>
          <w:p w:rsidR="00730A38" w:rsidRDefault="00983AA2" w:rsidP="00CC236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7-8</w:t>
            </w:r>
          </w:p>
        </w:tc>
      </w:tr>
      <w:tr w:rsidR="00730A38" w:rsidTr="0078142B">
        <w:tc>
          <w:tcPr>
            <w:tcW w:w="747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1885" w:type="dxa"/>
            <w:vAlign w:val="center"/>
          </w:tcPr>
          <w:p w:rsidR="00730A38" w:rsidRPr="002A4912" w:rsidRDefault="00730A38" w:rsidP="009F533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1701" w:type="dxa"/>
            <w:vAlign w:val="center"/>
          </w:tcPr>
          <w:p w:rsidR="00730A38" w:rsidRDefault="00730A38" w:rsidP="0066461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730A38" w:rsidRDefault="00730A38" w:rsidP="0066461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2694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3827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3119" w:type="dxa"/>
          </w:tcPr>
          <w:p w:rsidR="00730A38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13-14</w:t>
            </w:r>
          </w:p>
        </w:tc>
      </w:tr>
      <w:tr w:rsidR="00730A38" w:rsidTr="0078142B">
        <w:tc>
          <w:tcPr>
            <w:tcW w:w="747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1885" w:type="dxa"/>
            <w:vAlign w:val="center"/>
          </w:tcPr>
          <w:p w:rsidR="00730A38" w:rsidRPr="002A4912" w:rsidRDefault="00730A38" w:rsidP="009F533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1701" w:type="dxa"/>
            <w:vAlign w:val="center"/>
          </w:tcPr>
          <w:p w:rsidR="00730A38" w:rsidRDefault="00730A38" w:rsidP="0066461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730A38" w:rsidRDefault="00730A38" w:rsidP="0066461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2694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3827" w:type="dxa"/>
            <w:vAlign w:val="center"/>
          </w:tcPr>
          <w:p w:rsidR="00730A38" w:rsidRPr="002A4912" w:rsidRDefault="00B017B2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3119" w:type="dxa"/>
          </w:tcPr>
          <w:p w:rsidR="00730A38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8-9</w:t>
            </w:r>
          </w:p>
        </w:tc>
      </w:tr>
      <w:tr w:rsidR="00730A38" w:rsidTr="0078142B">
        <w:tc>
          <w:tcPr>
            <w:tcW w:w="747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1885" w:type="dxa"/>
            <w:vAlign w:val="center"/>
          </w:tcPr>
          <w:p w:rsidR="00730A38" w:rsidRPr="002A4912" w:rsidRDefault="00730A38" w:rsidP="009F533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دکتری پیوسته حرفه ای ( دامپزشکی )</w:t>
            </w:r>
          </w:p>
        </w:tc>
        <w:tc>
          <w:tcPr>
            <w:tcW w:w="1701" w:type="dxa"/>
            <w:vAlign w:val="center"/>
          </w:tcPr>
          <w:p w:rsidR="00730A38" w:rsidRDefault="00730A38" w:rsidP="0066461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:rsidR="00730A38" w:rsidRDefault="00730A38" w:rsidP="0066461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2694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3827" w:type="dxa"/>
            <w:vAlign w:val="center"/>
          </w:tcPr>
          <w:p w:rsidR="00730A38" w:rsidRPr="002A4912" w:rsidRDefault="00B017B2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3119" w:type="dxa"/>
          </w:tcPr>
          <w:p w:rsidR="00730A38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16-17-18</w:t>
            </w:r>
          </w:p>
        </w:tc>
      </w:tr>
      <w:tr w:rsidR="00730A38" w:rsidTr="0078142B">
        <w:tc>
          <w:tcPr>
            <w:tcW w:w="747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1885" w:type="dxa"/>
            <w:vAlign w:val="center"/>
          </w:tcPr>
          <w:p w:rsidR="00730A38" w:rsidRPr="002A4912" w:rsidRDefault="00730A38" w:rsidP="009F5339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دکتری تخصصی ناپیوسته </w:t>
            </w:r>
            <w:r>
              <w:rPr>
                <w:rFonts w:cs="B Zar"/>
                <w:sz w:val="28"/>
                <w:szCs w:val="28"/>
              </w:rPr>
              <w:t>PHD</w:t>
            </w:r>
          </w:p>
        </w:tc>
        <w:tc>
          <w:tcPr>
            <w:tcW w:w="1701" w:type="dxa"/>
            <w:vAlign w:val="center"/>
          </w:tcPr>
          <w:p w:rsidR="00730A38" w:rsidRDefault="00730A38" w:rsidP="0066461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730A38" w:rsidRDefault="00730A38" w:rsidP="0066461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2694" w:type="dxa"/>
            <w:vAlign w:val="center"/>
          </w:tcPr>
          <w:p w:rsidR="00730A38" w:rsidRPr="002A4912" w:rsidRDefault="00730A38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3827" w:type="dxa"/>
            <w:vAlign w:val="center"/>
          </w:tcPr>
          <w:p w:rsidR="00730A38" w:rsidRPr="002A4912" w:rsidRDefault="00056310" w:rsidP="002A491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3119" w:type="dxa"/>
          </w:tcPr>
          <w:p w:rsidR="00730A38" w:rsidRDefault="003705A2" w:rsidP="000A002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13-14</w:t>
            </w:r>
            <w:r w:rsidR="00056310">
              <w:rPr>
                <w:rFonts w:cs="B Zar" w:hint="cs"/>
                <w:sz w:val="28"/>
                <w:szCs w:val="28"/>
                <w:rtl/>
              </w:rPr>
              <w:t>-15</w:t>
            </w:r>
          </w:p>
        </w:tc>
      </w:tr>
    </w:tbl>
    <w:p w:rsidR="00560225" w:rsidRDefault="00560225" w:rsidP="00133354">
      <w:pPr>
        <w:jc w:val="left"/>
        <w:rPr>
          <w:rtl/>
        </w:rPr>
      </w:pPr>
    </w:p>
    <w:p w:rsidR="00C27D91" w:rsidRDefault="00C27D91" w:rsidP="00C27D91">
      <w:pPr>
        <w:pStyle w:val="ListParagraph"/>
        <w:numPr>
          <w:ilvl w:val="0"/>
          <w:numId w:val="1"/>
        </w:numPr>
        <w:bidi/>
        <w:jc w:val="left"/>
        <w:rPr>
          <w:rFonts w:cs="B Zar"/>
          <w:sz w:val="28"/>
          <w:szCs w:val="28"/>
        </w:rPr>
      </w:pPr>
      <w:r w:rsidRPr="00474913">
        <w:rPr>
          <w:rFonts w:cs="B Zar" w:hint="cs"/>
          <w:sz w:val="28"/>
          <w:szCs w:val="28"/>
          <w:rtl/>
        </w:rPr>
        <w:t xml:space="preserve">در صورت بهره مندی دانشجویان از </w:t>
      </w:r>
      <w:r w:rsidR="00320412">
        <w:rPr>
          <w:rFonts w:cs="B Zar" w:hint="cs"/>
          <w:sz w:val="28"/>
          <w:szCs w:val="28"/>
          <w:rtl/>
        </w:rPr>
        <w:t>حداکثر</w:t>
      </w:r>
      <w:r w:rsidRPr="00474913">
        <w:rPr>
          <w:rFonts w:cs="B Zar" w:hint="cs"/>
          <w:sz w:val="28"/>
          <w:szCs w:val="28"/>
          <w:rtl/>
        </w:rPr>
        <w:t>اختیارات کمسیون داخلی دانشگاه و شورای استانی و در صورت عدم احراز شرایط فراغت از تحصیلی، الزاماً درخواست به کمیسیون مرکزی سازمان امور دانشجویان ارجاع خواهد گردید.</w:t>
      </w:r>
    </w:p>
    <w:p w:rsidR="00474913" w:rsidRDefault="00474913" w:rsidP="00474913">
      <w:pPr>
        <w:pStyle w:val="ListParagraph"/>
        <w:numPr>
          <w:ilvl w:val="0"/>
          <w:numId w:val="1"/>
        </w:numPr>
        <w:bidi/>
        <w:jc w:val="left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دانشجویانی مقطع کارشناسی ارشد که به دلیل دو نیم سال مشروطی اخراج گردیده اند صرفا در صورت داشتن شرایط و مستندات خاص متقن و کسب معدل کل 13 در هنگام اخراجی، امکان بررسی پرونده در کمیسیون داخلی دانشگاه را اخذ می نمایند. پرونده دانشجویان دارای  معدل زیر 13 می بایستی به کمیسیون استان </w:t>
      </w:r>
      <w:r w:rsidR="00320412">
        <w:rPr>
          <w:rFonts w:cs="B Zar" w:hint="cs"/>
          <w:sz w:val="28"/>
          <w:szCs w:val="28"/>
          <w:rtl/>
        </w:rPr>
        <w:t xml:space="preserve">یا مرکزی </w:t>
      </w:r>
      <w:r>
        <w:rPr>
          <w:rFonts w:cs="B Zar" w:hint="cs"/>
          <w:sz w:val="28"/>
          <w:szCs w:val="28"/>
          <w:rtl/>
        </w:rPr>
        <w:t>جهت تصمیم گیری  ارسال گردد.</w:t>
      </w:r>
    </w:p>
    <w:p w:rsidR="00474913" w:rsidRDefault="00474913" w:rsidP="00474913">
      <w:pPr>
        <w:pStyle w:val="ListParagraph"/>
        <w:numPr>
          <w:ilvl w:val="0"/>
          <w:numId w:val="1"/>
        </w:numPr>
        <w:bidi/>
        <w:jc w:val="left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در مقطع کارشناسی ارشد امکان تغییر شیوه آموزشی میسر نبوده و در اختیار کمیسیون داخل و استانی نمی باشد.</w:t>
      </w:r>
    </w:p>
    <w:p w:rsidR="00474913" w:rsidRPr="00474913" w:rsidRDefault="00474913" w:rsidP="00320412">
      <w:pPr>
        <w:pStyle w:val="ListParagraph"/>
        <w:numPr>
          <w:ilvl w:val="0"/>
          <w:numId w:val="1"/>
        </w:numPr>
        <w:bidi/>
        <w:jc w:val="lef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نقل و انتقال و میهمان دارای سامانه مجزا بوده و در کمیسیون استان بررسی </w:t>
      </w:r>
      <w:r w:rsidR="00320412">
        <w:rPr>
          <w:rFonts w:cs="B Zar" w:hint="cs"/>
          <w:sz w:val="28"/>
          <w:szCs w:val="28"/>
          <w:rtl/>
        </w:rPr>
        <w:t>نخواهد</w:t>
      </w:r>
      <w:r>
        <w:rPr>
          <w:rFonts w:cs="B Zar" w:hint="cs"/>
          <w:sz w:val="28"/>
          <w:szCs w:val="28"/>
          <w:rtl/>
        </w:rPr>
        <w:t xml:space="preserve"> شد.</w:t>
      </w:r>
    </w:p>
    <w:sectPr w:rsidR="00474913" w:rsidRPr="00474913" w:rsidSect="00F8740B">
      <w:pgSz w:w="16838" w:h="11906" w:orient="landscape"/>
      <w:pgMar w:top="1440" w:right="567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B29E9"/>
    <w:multiLevelType w:val="hybridMultilevel"/>
    <w:tmpl w:val="A67201DA"/>
    <w:lvl w:ilvl="0" w:tplc="8A2E7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9"/>
    <w:rsid w:val="000500FD"/>
    <w:rsid w:val="00056310"/>
    <w:rsid w:val="00076BF0"/>
    <w:rsid w:val="00095DC0"/>
    <w:rsid w:val="000A002A"/>
    <w:rsid w:val="00133354"/>
    <w:rsid w:val="002A4912"/>
    <w:rsid w:val="00320412"/>
    <w:rsid w:val="003705A2"/>
    <w:rsid w:val="003A3005"/>
    <w:rsid w:val="00403C00"/>
    <w:rsid w:val="00473951"/>
    <w:rsid w:val="00474913"/>
    <w:rsid w:val="00517089"/>
    <w:rsid w:val="00560225"/>
    <w:rsid w:val="00664610"/>
    <w:rsid w:val="00693B05"/>
    <w:rsid w:val="00730A38"/>
    <w:rsid w:val="00736CFC"/>
    <w:rsid w:val="0078142B"/>
    <w:rsid w:val="00872014"/>
    <w:rsid w:val="00910896"/>
    <w:rsid w:val="00983AA2"/>
    <w:rsid w:val="00B017B2"/>
    <w:rsid w:val="00B815A2"/>
    <w:rsid w:val="00BC3F7E"/>
    <w:rsid w:val="00C27D91"/>
    <w:rsid w:val="00CA315A"/>
    <w:rsid w:val="00CC236F"/>
    <w:rsid w:val="00D4299E"/>
    <w:rsid w:val="00DC59BC"/>
    <w:rsid w:val="00E11269"/>
    <w:rsid w:val="00E62D04"/>
    <w:rsid w:val="00F8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0DE0F-9AE2-482F-B0BD-C5C83052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0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0FD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2A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YEGANEH</dc:creator>
  <cp:lastModifiedBy>hashemian</cp:lastModifiedBy>
  <cp:revision>2</cp:revision>
  <dcterms:created xsi:type="dcterms:W3CDTF">2022-09-28T07:01:00Z</dcterms:created>
  <dcterms:modified xsi:type="dcterms:W3CDTF">2022-09-28T07:01:00Z</dcterms:modified>
</cp:coreProperties>
</file>